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6" w:rsidRDefault="006C55E1" w:rsidP="00140089">
      <w:pPr>
        <w:pStyle w:val="Ttulo1"/>
        <w:spacing w:before="0" w:after="240"/>
        <w:ind w:left="0" w:firstLine="0"/>
        <w:jc w:val="center"/>
        <w:rPr>
          <w:color w:val="00B050"/>
          <w:sz w:val="32"/>
          <w:szCs w:val="32"/>
        </w:rPr>
      </w:pPr>
      <w:bookmarkStart w:id="0" w:name="_Ref432072471"/>
      <w:r>
        <w:rPr>
          <w:color w:val="00B050"/>
          <w:sz w:val="32"/>
          <w:szCs w:val="32"/>
        </w:rPr>
        <w:t>4</w:t>
      </w:r>
      <w:bookmarkStart w:id="1" w:name="_GoBack"/>
      <w:bookmarkEnd w:id="1"/>
      <w:r w:rsidR="003B776B">
        <w:rPr>
          <w:color w:val="00B050"/>
          <w:sz w:val="32"/>
          <w:szCs w:val="32"/>
        </w:rPr>
        <w:t xml:space="preserve">ª </w:t>
      </w:r>
      <w:r w:rsidR="0047398D">
        <w:rPr>
          <w:color w:val="00B050"/>
          <w:sz w:val="32"/>
          <w:szCs w:val="32"/>
        </w:rPr>
        <w:t>LAEE</w:t>
      </w:r>
      <w:r w:rsidR="00F86EC5">
        <w:rPr>
          <w:color w:val="00B050"/>
          <w:sz w:val="32"/>
          <w:szCs w:val="32"/>
        </w:rPr>
        <w:t xml:space="preserve"> </w:t>
      </w:r>
      <w:bookmarkStart w:id="2" w:name="_Anexo_3:_Condición_1"/>
      <w:bookmarkEnd w:id="0"/>
      <w:bookmarkEnd w:id="2"/>
    </w:p>
    <w:p w:rsidR="00140089" w:rsidRPr="00865E28" w:rsidRDefault="00140089" w:rsidP="00140089">
      <w:pPr>
        <w:pStyle w:val="Ttulo1"/>
        <w:spacing w:before="0" w:after="240"/>
        <w:ind w:left="0" w:firstLine="0"/>
        <w:jc w:val="center"/>
        <w:rPr>
          <w:color w:val="00B050"/>
          <w:sz w:val="32"/>
          <w:szCs w:val="32"/>
        </w:rPr>
      </w:pPr>
      <w:r w:rsidRPr="00865E28">
        <w:rPr>
          <w:color w:val="00B050"/>
          <w:sz w:val="32"/>
          <w:szCs w:val="32"/>
        </w:rPr>
        <w:t>Condición de E</w:t>
      </w:r>
      <w:r w:rsidR="00EB67C6">
        <w:rPr>
          <w:color w:val="00B050"/>
          <w:sz w:val="32"/>
          <w:szCs w:val="32"/>
        </w:rPr>
        <w:t xml:space="preserve">ficiencia </w:t>
      </w:r>
      <w:r w:rsidRPr="00865E28">
        <w:rPr>
          <w:color w:val="00B050"/>
          <w:sz w:val="32"/>
          <w:szCs w:val="32"/>
        </w:rPr>
        <w:t>E</w:t>
      </w:r>
      <w:r w:rsidR="00EB67C6">
        <w:rPr>
          <w:color w:val="00B050"/>
          <w:sz w:val="32"/>
          <w:szCs w:val="32"/>
        </w:rPr>
        <w:t>nergética</w:t>
      </w:r>
    </w:p>
    <w:p w:rsidR="00140089" w:rsidRPr="008553A5" w:rsidRDefault="00140089" w:rsidP="00140089">
      <w:pPr>
        <w:spacing w:after="120"/>
        <w:jc w:val="both"/>
      </w:pPr>
      <w:r w:rsidRPr="008553A5">
        <w:t xml:space="preserve">Para ser considerados de Eficiencia Energética todos los proyectos </w:t>
      </w:r>
      <w:r>
        <w:t xml:space="preserve">objeto de estudio </w:t>
      </w:r>
      <w:r w:rsidRPr="008553A5">
        <w:t>deben cumplir con la relación costo-beneficio inferior a 1.</w:t>
      </w:r>
    </w:p>
    <w:p w:rsidR="00140089" w:rsidRPr="008553A5" w:rsidRDefault="00140089" w:rsidP="00140089">
      <w:pPr>
        <w:spacing w:after="120"/>
        <w:jc w:val="both"/>
      </w:pPr>
      <w:r w:rsidRPr="008553A5">
        <w:t>Para determinar la Relación Costo – Beneficio se utilizará: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558"/>
      </w:tblGrid>
      <w:tr w:rsidR="00140089" w:rsidRPr="00A37F57" w:rsidTr="00996403">
        <w:trPr>
          <w:trHeight w:val="505"/>
        </w:trPr>
        <w:tc>
          <w:tcPr>
            <w:tcW w:w="2558" w:type="dxa"/>
            <w:vAlign w:val="center"/>
          </w:tcPr>
          <w:p w:rsidR="00140089" w:rsidRPr="00A37F57" w:rsidRDefault="00140089" w:rsidP="00996403">
            <w:pPr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A37F57">
              <w:rPr>
                <w:rFonts w:asciiTheme="minorHAnsi" w:hAnsiTheme="minorHAnsi" w:cs="Arial"/>
                <w:b/>
                <w:bCs/>
                <w:sz w:val="24"/>
              </w:rPr>
              <w:t>INV / ATE  &lt;  1</w:t>
            </w:r>
          </w:p>
        </w:tc>
      </w:tr>
    </w:tbl>
    <w:p w:rsidR="00140089" w:rsidRDefault="00140089" w:rsidP="00140089">
      <w:pPr>
        <w:spacing w:after="120"/>
        <w:jc w:val="both"/>
        <w:rPr>
          <w:lang w:val="es-MX"/>
        </w:rPr>
      </w:pPr>
      <w:r>
        <w:br w:type="textWrapping" w:clear="all"/>
      </w:r>
      <w:r w:rsidRPr="00EB4F6A">
        <w:rPr>
          <w:lang w:val="es-MX"/>
        </w:rPr>
        <w:t>Siendo:</w:t>
      </w:r>
    </w:p>
    <w:p w:rsidR="00140089" w:rsidRDefault="00140089" w:rsidP="00140089">
      <w:pPr>
        <w:pStyle w:val="Sinespaciado"/>
        <w:spacing w:after="120"/>
        <w:ind w:left="708"/>
        <w:jc w:val="both"/>
        <w:rPr>
          <w:rFonts w:eastAsia="Times New Roman" w:cstheme="minorHAnsi"/>
          <w:lang w:eastAsia="es-ES"/>
        </w:rPr>
      </w:pPr>
      <w:r w:rsidRPr="002D3B88">
        <w:rPr>
          <w:rFonts w:eastAsia="Times New Roman" w:cstheme="minorHAnsi"/>
          <w:b/>
          <w:bCs/>
          <w:lang w:eastAsia="es-ES"/>
        </w:rPr>
        <w:t>INV</w:t>
      </w:r>
      <w:r w:rsidRPr="002D3B88">
        <w:rPr>
          <w:rFonts w:eastAsia="Times New Roman" w:cstheme="minorHAnsi"/>
          <w:lang w:eastAsia="es-ES"/>
        </w:rPr>
        <w:t xml:space="preserve">: </w:t>
      </w:r>
      <w:r>
        <w:rPr>
          <w:rFonts w:eastAsia="Times New Roman" w:cstheme="minorHAnsi"/>
          <w:lang w:eastAsia="es-ES"/>
        </w:rPr>
        <w:t>inversión de la medida de eficiencia energética</w:t>
      </w:r>
      <w:r w:rsidRPr="002D3B88">
        <w:rPr>
          <w:rFonts w:eastAsia="Times New Roman" w:cstheme="minorHAnsi"/>
          <w:lang w:eastAsia="es-ES"/>
        </w:rPr>
        <w:t xml:space="preserve">, incluyendo </w:t>
      </w:r>
      <w:r>
        <w:rPr>
          <w:rFonts w:eastAsia="Times New Roman" w:cstheme="minorHAnsi"/>
          <w:lang w:eastAsia="es-ES"/>
        </w:rPr>
        <w:t>maquinaria o equipos, obra civil, instalación, otros</w:t>
      </w:r>
      <w:r w:rsidRPr="002D3B88">
        <w:rPr>
          <w:rFonts w:eastAsia="Times New Roman" w:cstheme="minorHAnsi"/>
          <w:lang w:eastAsia="es-ES"/>
        </w:rPr>
        <w:t>.</w:t>
      </w:r>
    </w:p>
    <w:p w:rsidR="00140089" w:rsidRDefault="00140089" w:rsidP="00140089">
      <w:pPr>
        <w:pStyle w:val="Sinespaciado"/>
        <w:ind w:left="708"/>
        <w:jc w:val="both"/>
        <w:rPr>
          <w:rFonts w:eastAsia="Times New Roman" w:cstheme="minorHAnsi"/>
          <w:lang w:eastAsia="es-ES"/>
        </w:rPr>
      </w:pPr>
      <w:r w:rsidRPr="00460C1E">
        <w:rPr>
          <w:rFonts w:eastAsia="Times New Roman" w:cstheme="minorHAnsi"/>
          <w:b/>
          <w:bCs/>
          <w:lang w:eastAsia="es-ES"/>
        </w:rPr>
        <w:t>ATE:</w:t>
      </w:r>
      <w:r w:rsidRPr="00460C1E">
        <w:rPr>
          <w:rFonts w:eastAsia="Times New Roman" w:cstheme="minorHAnsi"/>
          <w:lang w:eastAsia="es-ES"/>
        </w:rPr>
        <w:t xml:space="preserve"> el Ahorro Total de Energía a lo largo de la vida útil de la medida expresado en unidades monetarias</w:t>
      </w:r>
      <w:r w:rsidRPr="002D3B88">
        <w:rPr>
          <w:rFonts w:eastAsia="Times New Roman" w:cstheme="minorHAnsi"/>
          <w:lang w:eastAsia="es-ES"/>
        </w:rPr>
        <w:t>.</w:t>
      </w:r>
      <w:r>
        <w:rPr>
          <w:rFonts w:eastAsia="Times New Roman" w:cstheme="minorHAnsi"/>
          <w:lang w:eastAsia="es-ES"/>
        </w:rPr>
        <w:t xml:space="preserve"> </w:t>
      </w:r>
    </w:p>
    <w:p w:rsidR="00140089" w:rsidRDefault="00140089" w:rsidP="00140089">
      <w:pPr>
        <w:pStyle w:val="Sinespaciado"/>
        <w:spacing w:after="120"/>
        <w:jc w:val="center"/>
        <w:rPr>
          <w:lang w:val="es-MX"/>
        </w:rPr>
      </w:pPr>
    </w:p>
    <w:p w:rsidR="00140089" w:rsidRPr="00EB4F6A" w:rsidRDefault="00140089" w:rsidP="00140089">
      <w:pPr>
        <w:rPr>
          <w:lang w:val="es-MX"/>
        </w:rPr>
      </w:pPr>
      <w:r w:rsidRPr="00EB4F6A">
        <w:rPr>
          <w:lang w:val="es-MX"/>
        </w:rPr>
        <w:t xml:space="preserve">El </w:t>
      </w:r>
      <w:r>
        <w:rPr>
          <w:lang w:val="es-MX"/>
        </w:rPr>
        <w:t xml:space="preserve">Ahorro Total </w:t>
      </w:r>
      <w:r w:rsidRPr="00EB4F6A">
        <w:rPr>
          <w:lang w:val="es-MX"/>
        </w:rPr>
        <w:t>de Energía será calculado de la siguiente forma:</w:t>
      </w:r>
    </w:p>
    <w:p w:rsidR="00140089" w:rsidRPr="002D3B88" w:rsidRDefault="00140089" w:rsidP="00140089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ED4A80">
        <w:rPr>
          <w:rFonts w:eastAsia="Times New Roman" w:cstheme="minorHAnsi"/>
          <w:position w:val="-30"/>
          <w:lang w:eastAsia="es-ES"/>
        </w:rPr>
        <w:object w:dxaOrig="2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5pt;height:36.7pt" o:ole="">
            <v:imagedata r:id="rId7" o:title=""/>
          </v:shape>
          <o:OLEObject Type="Embed" ProgID="Equation.3" ShapeID="_x0000_i1025" DrawAspect="Content" ObjectID="_1637653620" r:id="rId8"/>
        </w:object>
      </w:r>
    </w:p>
    <w:p w:rsidR="00140089" w:rsidRPr="002D3B88" w:rsidRDefault="00140089" w:rsidP="00140089">
      <w:pPr>
        <w:spacing w:after="12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Siendo</w:t>
      </w:r>
      <w:r w:rsidR="00D3185B">
        <w:rPr>
          <w:rFonts w:eastAsia="Times New Roman" w:cstheme="minorHAnsi"/>
          <w:lang w:eastAsia="es-ES"/>
        </w:rPr>
        <w:t>:</w:t>
      </w:r>
    </w:p>
    <w:p w:rsidR="00140089" w:rsidRPr="009214F0" w:rsidRDefault="00140089" w:rsidP="00140089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D20796">
        <w:rPr>
          <w:rFonts w:eastAsia="Times New Roman" w:cstheme="minorHAnsi"/>
          <w:position w:val="-28"/>
          <w:lang w:eastAsia="es-ES"/>
        </w:rPr>
        <w:object w:dxaOrig="1820" w:dyaOrig="540">
          <v:shape id="_x0000_i1026" type="#_x0000_t75" style="width:89pt;height:27.15pt" o:ole="">
            <v:imagedata r:id="rId9" o:title=""/>
          </v:shape>
          <o:OLEObject Type="Embed" ProgID="Equation.3" ShapeID="_x0000_i1026" DrawAspect="Content" ObjectID="_1637653621" r:id="rId10"/>
        </w:object>
      </w:r>
    </w:p>
    <w:p w:rsidR="00140089" w:rsidRPr="002D3B88" w:rsidRDefault="00140089" w:rsidP="00140089">
      <w:pPr>
        <w:spacing w:after="120" w:line="240" w:lineRule="auto"/>
        <w:rPr>
          <w:rFonts w:eastAsia="Times New Roman" w:cstheme="minorHAnsi"/>
          <w:lang w:eastAsia="es-ES"/>
        </w:rPr>
      </w:pPr>
      <w:r w:rsidRPr="002D3B88">
        <w:rPr>
          <w:rFonts w:eastAsia="Times New Roman" w:cstheme="minorHAnsi"/>
          <w:lang w:eastAsia="es-ES"/>
        </w:rPr>
        <w:t>Con:</w:t>
      </w:r>
    </w:p>
    <w:p w:rsidR="00140089" w:rsidRDefault="00140089" w:rsidP="00140089">
      <w:pPr>
        <w:pStyle w:val="Prrafodelista"/>
        <w:numPr>
          <w:ilvl w:val="0"/>
          <w:numId w:val="10"/>
        </w:numPr>
        <w:spacing w:after="0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AAE</w:t>
      </w:r>
      <w:r w:rsidRPr="003C7A8F">
        <w:rPr>
          <w:rFonts w:eastAsia="Times New Roman" w:cstheme="minorHAnsi"/>
          <w:vertAlign w:val="subscript"/>
          <w:lang w:eastAsia="es-ES"/>
        </w:rPr>
        <w:t>j</w:t>
      </w:r>
      <w:r>
        <w:rPr>
          <w:rFonts w:eastAsia="Times New Roman" w:cstheme="minorHAnsi"/>
          <w:lang w:eastAsia="es-ES"/>
        </w:rPr>
        <w:tab/>
        <w:t xml:space="preserve">Ahorro anual de </w:t>
      </w:r>
      <w:r w:rsidRPr="003C7A8F">
        <w:rPr>
          <w:rFonts w:eastAsia="Times New Roman" w:cstheme="minorHAnsi"/>
          <w:lang w:eastAsia="es-ES"/>
        </w:rPr>
        <w:t>energía evitada en el año j</w:t>
      </w:r>
      <w:r>
        <w:rPr>
          <w:rFonts w:eastAsia="Times New Roman" w:cstheme="minorHAnsi"/>
          <w:lang w:eastAsia="es-ES"/>
        </w:rPr>
        <w:t xml:space="preserve"> en pesos uruguayos.</w:t>
      </w:r>
    </w:p>
    <w:p w:rsidR="00140089" w:rsidRPr="00460C1E" w:rsidRDefault="00140089" w:rsidP="00140089">
      <w:pPr>
        <w:pStyle w:val="Prrafodelista"/>
        <w:numPr>
          <w:ilvl w:val="0"/>
          <w:numId w:val="10"/>
        </w:numPr>
        <w:tabs>
          <w:tab w:val="left" w:pos="1418"/>
        </w:tabs>
        <w:spacing w:after="0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j</w:t>
      </w:r>
      <w:r>
        <w:rPr>
          <w:rFonts w:eastAsia="Times New Roman" w:cstheme="minorHAnsi"/>
          <w:lang w:eastAsia="es-ES"/>
        </w:rPr>
        <w:tab/>
        <w:t>Ca</w:t>
      </w:r>
      <w:r w:rsidRPr="00460C1E">
        <w:rPr>
          <w:rFonts w:eastAsia="Times New Roman" w:cstheme="minorHAnsi"/>
          <w:lang w:eastAsia="es-ES"/>
        </w:rPr>
        <w:t>da uno de los años de la vida útil (vu) de la MMEE.</w:t>
      </w:r>
    </w:p>
    <w:p w:rsidR="00140089" w:rsidRPr="003C7A8F" w:rsidRDefault="00140089" w:rsidP="00140089">
      <w:pPr>
        <w:pStyle w:val="Prrafodelista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TD</w:t>
      </w:r>
      <w:r>
        <w:rPr>
          <w:rFonts w:eastAsia="Times New Roman" w:cstheme="minorHAnsi"/>
          <w:lang w:eastAsia="es-ES"/>
        </w:rPr>
        <w:tab/>
      </w:r>
      <w:r>
        <w:rPr>
          <w:rFonts w:eastAsia="Times New Roman" w:cstheme="minorHAnsi"/>
          <w:lang w:eastAsia="es-ES"/>
        </w:rPr>
        <w:tab/>
      </w:r>
      <w:r w:rsidRPr="003C7A8F">
        <w:rPr>
          <w:rFonts w:eastAsia="Times New Roman" w:cstheme="minorHAnsi"/>
          <w:lang w:eastAsia="es-ES"/>
        </w:rPr>
        <w:t xml:space="preserve">Tasa de descuento </w:t>
      </w:r>
      <w:r>
        <w:rPr>
          <w:rFonts w:eastAsia="Times New Roman" w:cstheme="minorHAnsi"/>
          <w:lang w:eastAsia="es-ES"/>
        </w:rPr>
        <w:t>real en pesos uruguayos (10%).</w:t>
      </w:r>
      <w:r w:rsidRPr="003C7A8F">
        <w:rPr>
          <w:rFonts w:eastAsia="Times New Roman" w:cstheme="minorHAnsi"/>
          <w:lang w:eastAsia="es-ES"/>
        </w:rPr>
        <w:t xml:space="preserve"> </w:t>
      </w:r>
    </w:p>
    <w:p w:rsidR="00140089" w:rsidRDefault="00140089" w:rsidP="00140089">
      <w:pPr>
        <w:pStyle w:val="Prrafodelista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eastAsia="Times New Roman" w:cstheme="minorHAnsi"/>
          <w:lang w:eastAsia="es-ES"/>
        </w:rPr>
      </w:pPr>
      <w:r w:rsidRPr="003C7A8F">
        <w:rPr>
          <w:rFonts w:eastAsia="Times New Roman" w:cstheme="minorHAnsi"/>
          <w:lang w:eastAsia="es-ES"/>
        </w:rPr>
        <w:t>E</w:t>
      </w:r>
      <w:r w:rsidRPr="003C7A8F">
        <w:rPr>
          <w:rFonts w:eastAsia="Times New Roman" w:cstheme="minorHAnsi"/>
          <w:vertAlign w:val="subscript"/>
          <w:lang w:eastAsia="es-ES"/>
        </w:rPr>
        <w:t>k,j</w:t>
      </w:r>
      <w:r w:rsidRPr="003C7A8F">
        <w:rPr>
          <w:rFonts w:eastAsia="Times New Roman" w:cstheme="minorHAnsi"/>
          <w:lang w:eastAsia="es-ES"/>
        </w:rPr>
        <w:t xml:space="preserve"> </w:t>
      </w:r>
      <w:r w:rsidRPr="003C7A8F">
        <w:rPr>
          <w:rFonts w:eastAsia="Times New Roman" w:cstheme="minorHAnsi"/>
          <w:lang w:eastAsia="es-ES"/>
        </w:rPr>
        <w:tab/>
      </w:r>
      <w:r>
        <w:rPr>
          <w:rFonts w:eastAsia="Times New Roman" w:cstheme="minorHAnsi"/>
          <w:lang w:eastAsia="es-ES"/>
        </w:rPr>
        <w:tab/>
      </w:r>
      <w:r w:rsidRPr="003C7A8F">
        <w:rPr>
          <w:rFonts w:eastAsia="Times New Roman" w:cstheme="minorHAnsi"/>
          <w:lang w:eastAsia="es-ES"/>
        </w:rPr>
        <w:t xml:space="preserve">Cantidad de Energía </w:t>
      </w:r>
      <w:r>
        <w:rPr>
          <w:rFonts w:eastAsia="Times New Roman" w:cstheme="minorHAnsi"/>
          <w:lang w:eastAsia="es-ES"/>
        </w:rPr>
        <w:t>k</w:t>
      </w:r>
      <w:r w:rsidRPr="003C7A8F">
        <w:rPr>
          <w:rFonts w:eastAsia="Times New Roman" w:cstheme="minorHAnsi"/>
          <w:lang w:eastAsia="es-ES"/>
        </w:rPr>
        <w:t xml:space="preserve"> evitada en el año j</w:t>
      </w:r>
      <w:r>
        <w:rPr>
          <w:rFonts w:eastAsia="Times New Roman" w:cstheme="minorHAnsi"/>
          <w:lang w:eastAsia="es-ES"/>
        </w:rPr>
        <w:t>,</w:t>
      </w:r>
      <w:r w:rsidRPr="003C7A8F">
        <w:rPr>
          <w:rFonts w:eastAsia="Times New Roman" w:cstheme="minorHAnsi"/>
          <w:lang w:eastAsia="es-ES"/>
        </w:rPr>
        <w:t xml:space="preserve"> medida en unidades energéticas</w:t>
      </w:r>
      <w:r>
        <w:rPr>
          <w:rFonts w:eastAsia="Times New Roman" w:cstheme="minorHAnsi"/>
          <w:lang w:eastAsia="es-ES"/>
        </w:rPr>
        <w:t>.</w:t>
      </w:r>
      <w:r w:rsidRPr="003C7A8F">
        <w:rPr>
          <w:rFonts w:eastAsia="Times New Roman" w:cstheme="minorHAnsi"/>
          <w:lang w:eastAsia="es-ES"/>
        </w:rPr>
        <w:t xml:space="preserve"> </w:t>
      </w:r>
    </w:p>
    <w:p w:rsidR="00140089" w:rsidRDefault="00140089" w:rsidP="00140089">
      <w:pPr>
        <w:pStyle w:val="Prrafodelista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eastAsia="Times New Roman" w:cstheme="minorHAnsi"/>
          <w:lang w:eastAsia="es-ES"/>
        </w:rPr>
      </w:pPr>
      <w:r w:rsidRPr="003C7A8F">
        <w:rPr>
          <w:rFonts w:eastAsia="Times New Roman" w:cstheme="minorHAnsi"/>
          <w:lang w:eastAsia="es-ES"/>
        </w:rPr>
        <w:t>te</w:t>
      </w:r>
      <w:r w:rsidRPr="003C7A8F">
        <w:rPr>
          <w:rFonts w:eastAsia="Times New Roman" w:cstheme="minorHAnsi"/>
          <w:vertAlign w:val="subscript"/>
          <w:lang w:eastAsia="es-ES"/>
        </w:rPr>
        <w:t>k</w:t>
      </w:r>
      <w:r w:rsidRPr="003C7A8F">
        <w:rPr>
          <w:rFonts w:eastAsia="Times New Roman" w:cstheme="minorHAnsi"/>
          <w:lang w:eastAsia="es-ES"/>
        </w:rPr>
        <w:t xml:space="preserve"> </w:t>
      </w:r>
      <w:r w:rsidRPr="003C7A8F">
        <w:rPr>
          <w:rFonts w:eastAsia="Times New Roman" w:cstheme="minorHAnsi"/>
          <w:lang w:eastAsia="es-ES"/>
        </w:rPr>
        <w:tab/>
      </w:r>
      <w:r>
        <w:rPr>
          <w:rFonts w:eastAsia="Times New Roman" w:cstheme="minorHAnsi"/>
          <w:lang w:eastAsia="es-ES"/>
        </w:rPr>
        <w:tab/>
      </w:r>
      <w:r w:rsidRPr="003C7A8F">
        <w:rPr>
          <w:rFonts w:eastAsia="Times New Roman" w:cstheme="minorHAnsi"/>
          <w:lang w:eastAsia="es-ES"/>
        </w:rPr>
        <w:t xml:space="preserve">Tarifa media de la energía </w:t>
      </w:r>
      <w:r>
        <w:rPr>
          <w:rFonts w:eastAsia="Times New Roman" w:cstheme="minorHAnsi"/>
          <w:lang w:eastAsia="es-ES"/>
        </w:rPr>
        <w:t xml:space="preserve">k </w:t>
      </w:r>
      <w:r w:rsidRPr="003C7A8F">
        <w:rPr>
          <w:rFonts w:eastAsia="Times New Roman" w:cstheme="minorHAnsi"/>
          <w:lang w:eastAsia="es-ES"/>
        </w:rPr>
        <w:t xml:space="preserve">ahorrada. </w:t>
      </w:r>
    </w:p>
    <w:p w:rsidR="00140089" w:rsidRPr="003C7A8F" w:rsidRDefault="00140089" w:rsidP="00140089">
      <w:pPr>
        <w:pStyle w:val="Prrafodelista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k</w:t>
      </w:r>
      <w:r>
        <w:rPr>
          <w:rFonts w:eastAsia="Times New Roman" w:cstheme="minorHAnsi"/>
          <w:lang w:eastAsia="es-ES"/>
        </w:rPr>
        <w:tab/>
      </w:r>
      <w:r>
        <w:rPr>
          <w:rFonts w:eastAsia="Times New Roman" w:cstheme="minorHAnsi"/>
          <w:lang w:eastAsia="es-ES"/>
        </w:rPr>
        <w:tab/>
        <w:t>Fuentes de energía involucradas en la MMEE.</w:t>
      </w:r>
    </w:p>
    <w:p w:rsidR="00140089" w:rsidRDefault="00140089" w:rsidP="00140089">
      <w:pPr>
        <w:spacing w:after="0" w:line="240" w:lineRule="auto"/>
        <w:rPr>
          <w:rFonts w:eastAsia="Times New Roman" w:cstheme="minorHAnsi"/>
          <w:u w:val="single"/>
          <w:lang w:eastAsia="es-ES"/>
        </w:rPr>
      </w:pPr>
    </w:p>
    <w:p w:rsidR="00A37F57" w:rsidRPr="00FF5EE6" w:rsidRDefault="00A37F57" w:rsidP="00A37F57">
      <w:pPr>
        <w:pStyle w:val="default"/>
        <w:spacing w:line="276" w:lineRule="auto"/>
        <w:rPr>
          <w:b/>
          <w:color w:val="254061"/>
          <w:sz w:val="22"/>
          <w:szCs w:val="22"/>
        </w:rPr>
      </w:pPr>
      <w:r>
        <w:rPr>
          <w:b/>
          <w:color w:val="auto"/>
          <w:sz w:val="22"/>
          <w:szCs w:val="22"/>
        </w:rPr>
        <w:t>Casos</w:t>
      </w:r>
      <w:r w:rsidRPr="00FF5EE6">
        <w:rPr>
          <w:b/>
          <w:color w:val="auto"/>
          <w:sz w:val="22"/>
          <w:szCs w:val="22"/>
        </w:rPr>
        <w:t xml:space="preserve"> particulares: </w:t>
      </w:r>
    </w:p>
    <w:p w:rsidR="00A37F57" w:rsidRDefault="00A37F57" w:rsidP="00A37F57">
      <w:pPr>
        <w:pStyle w:val="default"/>
        <w:spacing w:line="276" w:lineRule="auto"/>
      </w:pPr>
    </w:p>
    <w:p w:rsidR="00A37F57" w:rsidRDefault="00A37F57" w:rsidP="00A37F57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</w:pPr>
      <w:r w:rsidRPr="00397342">
        <w:rPr>
          <w:i/>
          <w:u w:val="single"/>
        </w:rPr>
        <w:t>Medidas de sustitución de fuentes de energía tradicionales por energías renovables</w:t>
      </w:r>
      <w:r>
        <w:t>: en ATE</w:t>
      </w:r>
      <w:r w:rsidRPr="000277EE">
        <w:t xml:space="preserve"> </w:t>
      </w:r>
      <w:r>
        <w:t xml:space="preserve">se deberá considerar </w:t>
      </w:r>
      <w:r w:rsidRPr="000277EE">
        <w:t xml:space="preserve">únicamente </w:t>
      </w:r>
      <w:r>
        <w:t>el</w:t>
      </w:r>
      <w:r w:rsidRPr="000277EE">
        <w:t xml:space="preserve"> beneficio obtenido por </w:t>
      </w:r>
      <w:r>
        <w:t xml:space="preserve">la disminución del consumo propio </w:t>
      </w:r>
      <w:r w:rsidRPr="000277EE">
        <w:t xml:space="preserve">de energía </w:t>
      </w:r>
      <w:r w:rsidRPr="00430AC4">
        <w:t xml:space="preserve">proveniente de la red eléctrica y/o </w:t>
      </w:r>
      <w:r>
        <w:t xml:space="preserve">de </w:t>
      </w:r>
      <w:r w:rsidRPr="00430AC4">
        <w:t>combustibles fósiles</w:t>
      </w:r>
      <w:r>
        <w:t xml:space="preserve"> y si aplica, deberá considerar el costo de la fuente de energía renovable. (ej.: cualquier tipo de biomasa comprada)</w:t>
      </w:r>
      <w:r w:rsidRPr="00430AC4">
        <w:t xml:space="preserve">. </w:t>
      </w:r>
    </w:p>
    <w:p w:rsidR="00A37F57" w:rsidRPr="000208B3" w:rsidRDefault="00A37F57" w:rsidP="00A37F57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5449BC">
        <w:rPr>
          <w:i/>
          <w:u w:val="single"/>
        </w:rPr>
        <w:t xml:space="preserve">Medidas que no cumplen con la </w:t>
      </w:r>
      <w:r>
        <w:rPr>
          <w:i/>
          <w:u w:val="single"/>
        </w:rPr>
        <w:t>C</w:t>
      </w:r>
      <w:r w:rsidRPr="005449BC">
        <w:rPr>
          <w:i/>
          <w:u w:val="single"/>
        </w:rPr>
        <w:t xml:space="preserve">ondición de </w:t>
      </w:r>
      <w:r>
        <w:rPr>
          <w:i/>
          <w:u w:val="single"/>
        </w:rPr>
        <w:t>E</w:t>
      </w:r>
      <w:r w:rsidRPr="005449BC">
        <w:rPr>
          <w:i/>
          <w:u w:val="single"/>
        </w:rPr>
        <w:t xml:space="preserve">ficiencia </w:t>
      </w:r>
      <w:r>
        <w:rPr>
          <w:i/>
          <w:u w:val="single"/>
        </w:rPr>
        <w:t>E</w:t>
      </w:r>
      <w:r w:rsidRPr="005449BC">
        <w:rPr>
          <w:i/>
          <w:u w:val="single"/>
        </w:rPr>
        <w:t>nergética (</w:t>
      </w:r>
      <w:r w:rsidRPr="005449BC">
        <w:rPr>
          <w:rFonts w:eastAsia="Times New Roman" w:cstheme="minorHAnsi"/>
          <w:bCs/>
          <w:i/>
          <w:u w:val="single"/>
          <w:lang w:eastAsia="es-ES"/>
        </w:rPr>
        <w:t>INV/ATE &lt; 1):</w:t>
      </w:r>
      <w:r w:rsidRPr="005449BC">
        <w:rPr>
          <w:rFonts w:eastAsia="Times New Roman" w:cstheme="minorHAnsi"/>
          <w:b/>
          <w:bCs/>
          <w:lang w:eastAsia="es-ES"/>
        </w:rPr>
        <w:t xml:space="preserve"> </w:t>
      </w:r>
    </w:p>
    <w:p w:rsidR="00A37F57" w:rsidRPr="0002020A" w:rsidRDefault="00A37F57" w:rsidP="00A37F57">
      <w:pPr>
        <w:numPr>
          <w:ilvl w:val="2"/>
          <w:numId w:val="11"/>
        </w:numPr>
        <w:tabs>
          <w:tab w:val="clear" w:pos="720"/>
          <w:tab w:val="num" w:pos="284"/>
        </w:tabs>
        <w:spacing w:after="120"/>
        <w:ind w:hanging="294"/>
        <w:jc w:val="both"/>
      </w:pPr>
      <w:r>
        <w:t>E</w:t>
      </w:r>
      <w:r w:rsidRPr="00775260">
        <w:t>n los casos que esté adecuadamente justificado</w:t>
      </w:r>
      <w:r>
        <w:t xml:space="preserve">, </w:t>
      </w:r>
      <w:r w:rsidRPr="00775260">
        <w:t>se podrá considerar</w:t>
      </w:r>
      <w:r>
        <w:t xml:space="preserve"> solamente la inversión incremental</w:t>
      </w:r>
      <w:r w:rsidRPr="0002020A">
        <w:t xml:space="preserve"> necesaria para la ejecución de</w:t>
      </w:r>
      <w:r>
        <w:t xml:space="preserve"> </w:t>
      </w:r>
      <w:r w:rsidRPr="0002020A">
        <w:t>l</w:t>
      </w:r>
      <w:r>
        <w:t>a</w:t>
      </w:r>
      <w:r w:rsidRPr="0002020A">
        <w:t xml:space="preserve"> </w:t>
      </w:r>
      <w:r>
        <w:t>MMEE</w:t>
      </w:r>
      <w:r w:rsidRPr="0002020A">
        <w:t xml:space="preserve">. Esto requiere acreditar que, de no haberse realizado la inversión en </w:t>
      </w:r>
      <w:r>
        <w:t>EE</w:t>
      </w:r>
      <w:r w:rsidRPr="0002020A">
        <w:t xml:space="preserve"> el usuario habría incorporado un </w:t>
      </w:r>
      <w:r w:rsidRPr="0002020A">
        <w:lastRenderedPageBreak/>
        <w:t>equipo de menor costo y rendimiento, cumpliendo con los mismos requerimientos técnicos y prestaciones. Dicho equipo alternativo, utilizado para la comparación, debe</w:t>
      </w:r>
      <w:r>
        <w:t>rá</w:t>
      </w:r>
      <w:r w:rsidRPr="0002020A">
        <w:t xml:space="preserve"> estar alineado a los estándares de calidad y prestaciones vigentes en el mercado al momento del desarrollo del proyecto. De usar esta alternativa, el ahorro energético se debe</w:t>
      </w:r>
      <w:r>
        <w:t>rá</w:t>
      </w:r>
      <w:r w:rsidRPr="0002020A">
        <w:t xml:space="preserve"> determinar tomando como base el mismo equipo de referencia que para la definición de la inversión incremental. </w:t>
      </w:r>
    </w:p>
    <w:p w:rsidR="00A37F57" w:rsidRDefault="00A37F57" w:rsidP="00A37F57">
      <w:pPr>
        <w:numPr>
          <w:ilvl w:val="2"/>
          <w:numId w:val="11"/>
        </w:numPr>
        <w:spacing w:after="120"/>
        <w:ind w:hanging="294"/>
        <w:jc w:val="both"/>
      </w:pPr>
      <w:r>
        <w:t>Serán</w:t>
      </w:r>
      <w:r w:rsidRPr="00E57E36">
        <w:t xml:space="preserve"> considerad</w:t>
      </w:r>
      <w:r>
        <w:t>a</w:t>
      </w:r>
      <w:r w:rsidRPr="00E57E36">
        <w:t xml:space="preserve">s </w:t>
      </w:r>
      <w:r>
        <w:t>de EE</w:t>
      </w:r>
      <w:r w:rsidRPr="006663D3">
        <w:t xml:space="preserve"> </w:t>
      </w:r>
      <w:r>
        <w:t>siempre y cuando se demuestre</w:t>
      </w:r>
      <w:r w:rsidRPr="006663D3">
        <w:t xml:space="preserve"> </w:t>
      </w:r>
      <w:r>
        <w:t xml:space="preserve">y cuantifique convincentemente que presentan </w:t>
      </w:r>
      <w:r w:rsidRPr="006663D3">
        <w:t xml:space="preserve">otros beneficios </w:t>
      </w:r>
      <w:r>
        <w:t>(</w:t>
      </w:r>
      <w:r w:rsidRPr="006663D3">
        <w:t>por ejemplo: mejora en productividad, reducción de costos de mantenimiento</w:t>
      </w:r>
      <w:r>
        <w:t xml:space="preserve"> u operativos</w:t>
      </w:r>
      <w:r w:rsidRPr="006663D3">
        <w:t xml:space="preserve">, mejora tarifaria, beneficios fiscales </w:t>
      </w:r>
      <w:r>
        <w:t>[</w:t>
      </w:r>
      <w:r w:rsidRPr="006663D3">
        <w:t>ej.: COMAP</w:t>
      </w:r>
      <w:r>
        <w:t>]</w:t>
      </w:r>
      <w:r w:rsidRPr="006663D3">
        <w:t>, etc.</w:t>
      </w:r>
      <w:r>
        <w:t>) que derivan en una</w:t>
      </w:r>
      <w:r w:rsidRPr="00FA55F8">
        <w:t xml:space="preserve"> </w:t>
      </w:r>
      <w:r>
        <w:t>r</w:t>
      </w:r>
      <w:r w:rsidRPr="006663D3">
        <w:t xml:space="preserve">elación </w:t>
      </w:r>
      <w:r>
        <w:t>INV /</w:t>
      </w:r>
      <w:r w:rsidRPr="006663D3">
        <w:t xml:space="preserve"> Beneficio</w:t>
      </w:r>
      <w:r>
        <w:t xml:space="preserve"> total</w:t>
      </w:r>
      <w:r w:rsidRPr="006663D3">
        <w:t xml:space="preserve"> </w:t>
      </w:r>
      <w:r>
        <w:t>&lt; 1,</w:t>
      </w:r>
      <w:r w:rsidRPr="00E57E36">
        <w:t xml:space="preserve"> </w:t>
      </w:r>
      <w:r w:rsidRPr="00445DBF">
        <w:t xml:space="preserve">independientemente de la participación porcentual de los beneficios de </w:t>
      </w:r>
      <w:r>
        <w:t xml:space="preserve">EE </w:t>
      </w:r>
      <w:r w:rsidRPr="00445DBF">
        <w:t xml:space="preserve">en los </w:t>
      </w:r>
      <w:r>
        <w:t xml:space="preserve">beneficios totales del proyecto. En estos casos, </w:t>
      </w:r>
      <w:r w:rsidRPr="003E338B">
        <w:t>l</w:t>
      </w:r>
      <w:r>
        <w:t xml:space="preserve">a inversión (INV) y a presentar en el Formulario de postulación debe ser la indicada arriba. Es decir la inversión total de la medida y "ATE" el ahorro total de energía en la vida útil de la medida. </w:t>
      </w:r>
    </w:p>
    <w:p w:rsidR="00A37F57" w:rsidRDefault="00A37F57" w:rsidP="00A37F57">
      <w:pPr>
        <w:pBdr>
          <w:top w:val="single" w:sz="12" w:space="1" w:color="00B050"/>
          <w:left w:val="single" w:sz="12" w:space="0" w:color="00B050"/>
          <w:bottom w:val="single" w:sz="12" w:space="1" w:color="00B050"/>
          <w:right w:val="single" w:sz="12" w:space="4" w:color="00B050"/>
        </w:pBdr>
        <w:spacing w:after="120"/>
        <w:ind w:left="709"/>
        <w:jc w:val="both"/>
      </w:pPr>
      <w:r w:rsidRPr="005449BC">
        <w:rPr>
          <w:b/>
          <w:i/>
          <w:color w:val="00B050"/>
        </w:rPr>
        <w:t>Importante</w:t>
      </w:r>
      <w:r w:rsidRPr="00200F20">
        <w:rPr>
          <w:b/>
          <w:i/>
          <w:color w:val="00B050"/>
        </w:rPr>
        <w:t xml:space="preserve">: </w:t>
      </w:r>
      <w:r w:rsidRPr="00811F0A">
        <w:t>en el Formulario MMEE</w:t>
      </w:r>
      <w:r>
        <w:t xml:space="preserve">, los valores de los parámetros </w:t>
      </w:r>
      <w:r w:rsidRPr="00FE4324">
        <w:t>INV</w:t>
      </w:r>
      <w:r>
        <w:t xml:space="preserve"> y </w:t>
      </w:r>
      <w:r w:rsidRPr="00FE4324">
        <w:t>ATE</w:t>
      </w:r>
      <w:r>
        <w:t xml:space="preserve"> deben corresponderse con la definición de la condición de eficiencia energética arriba indicada. Si INV/ATE</w:t>
      </w:r>
      <w:r w:rsidRPr="00FE4324">
        <w:t>&gt;1</w:t>
      </w:r>
      <w:r>
        <w:t xml:space="preserve"> en el Formulario MMEE</w:t>
      </w:r>
      <w:r w:rsidRPr="00FE4324">
        <w:t xml:space="preserve">, </w:t>
      </w:r>
      <w:r>
        <w:t xml:space="preserve">se </w:t>
      </w:r>
      <w:r w:rsidRPr="00FE4324">
        <w:t>debe</w:t>
      </w:r>
      <w:r>
        <w:t>rá</w:t>
      </w:r>
      <w:r w:rsidRPr="00FE4324">
        <w:t xml:space="preserve"> presentar otro documento</w:t>
      </w:r>
      <w:r>
        <w:t xml:space="preserve"> con</w:t>
      </w:r>
      <w:r w:rsidRPr="00FE4324">
        <w:t xml:space="preserve"> la debida justificación y evidencias qu</w:t>
      </w:r>
      <w:r>
        <w:t xml:space="preserve">e permitan verificar que es factible considerar sólo la inversión incremental y/o existen </w:t>
      </w:r>
      <w:r w:rsidRPr="00FE4324">
        <w:t xml:space="preserve">otros beneficios que derivan en una relación </w:t>
      </w:r>
      <w:r>
        <w:t>Inversión</w:t>
      </w:r>
      <w:r w:rsidRPr="00FE4324">
        <w:t xml:space="preserve">/Ahorro total &lt;1. </w:t>
      </w:r>
    </w:p>
    <w:p w:rsidR="00140089" w:rsidRPr="00136255" w:rsidRDefault="00140089" w:rsidP="00A37F57">
      <w:pPr>
        <w:pStyle w:val="default"/>
        <w:rPr>
          <w:rFonts w:ascii="Trebuchet MS" w:eastAsiaTheme="majorEastAsia" w:hAnsi="Trebuchet MS" w:cstheme="majorBidi"/>
          <w:b/>
          <w:bCs/>
          <w:color w:val="365F91" w:themeColor="accent1" w:themeShade="BF"/>
          <w:szCs w:val="28"/>
        </w:rPr>
      </w:pPr>
    </w:p>
    <w:sectPr w:rsidR="00140089" w:rsidRPr="0013625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29" w:rsidRDefault="00CC4B29" w:rsidP="00CC4B29">
      <w:pPr>
        <w:spacing w:after="0" w:line="240" w:lineRule="auto"/>
      </w:pPr>
      <w:r>
        <w:separator/>
      </w:r>
    </w:p>
  </w:endnote>
  <w:endnote w:type="continuationSeparator" w:id="0">
    <w:p w:rsidR="00CC4B29" w:rsidRDefault="00CC4B29" w:rsidP="00CC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0"/>
        <w:szCs w:val="20"/>
      </w:rPr>
      <w:id w:val="-759990529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4B29" w:rsidRPr="00CC4B29" w:rsidRDefault="003B776B" w:rsidP="00CC4B29">
            <w:pPr>
              <w:pStyle w:val="Piedepgina"/>
              <w:pBdr>
                <w:top w:val="single" w:sz="4" w:space="1" w:color="7F7F7F" w:themeColor="text1" w:themeTint="80"/>
              </w:pBdr>
              <w:jc w:val="right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3ª </w:t>
            </w:r>
            <w:r w:rsidR="00416D14">
              <w:rPr>
                <w:color w:val="7F7F7F" w:themeColor="text1" w:themeTint="80"/>
                <w:sz w:val="20"/>
                <w:szCs w:val="20"/>
              </w:rPr>
              <w:t>LAEE</w:t>
            </w:r>
            <w:r w:rsidR="000B1EA5">
              <w:rPr>
                <w:color w:val="7F7F7F" w:themeColor="text1" w:themeTint="80"/>
                <w:sz w:val="20"/>
                <w:szCs w:val="20"/>
              </w:rPr>
              <w:t xml:space="preserve"> – Anexo </w:t>
            </w:r>
            <w:r w:rsidR="00140089" w:rsidRPr="00140089">
              <w:rPr>
                <w:color w:val="7F7F7F" w:themeColor="text1" w:themeTint="80"/>
                <w:sz w:val="20"/>
                <w:szCs w:val="20"/>
              </w:rPr>
              <w:t>3: Condición de E</w:t>
            </w:r>
            <w:r w:rsidR="00EB67C6">
              <w:rPr>
                <w:color w:val="7F7F7F" w:themeColor="text1" w:themeTint="80"/>
                <w:sz w:val="20"/>
                <w:szCs w:val="20"/>
              </w:rPr>
              <w:t xml:space="preserve">ficiencia </w:t>
            </w:r>
            <w:r w:rsidR="00140089" w:rsidRPr="00140089">
              <w:rPr>
                <w:color w:val="7F7F7F" w:themeColor="text1" w:themeTint="80"/>
                <w:sz w:val="20"/>
                <w:szCs w:val="20"/>
              </w:rPr>
              <w:t>E</w:t>
            </w:r>
            <w:r w:rsidR="00EB67C6">
              <w:rPr>
                <w:color w:val="7F7F7F" w:themeColor="text1" w:themeTint="80"/>
                <w:sz w:val="20"/>
                <w:szCs w:val="20"/>
              </w:rPr>
              <w:t>nergética</w:t>
            </w:r>
            <w:r w:rsidR="00140089" w:rsidRPr="00140089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="00416D14">
              <w:rPr>
                <w:color w:val="7F7F7F" w:themeColor="text1" w:themeTint="80"/>
                <w:sz w:val="20"/>
                <w:szCs w:val="20"/>
              </w:rPr>
              <w:tab/>
            </w:r>
            <w:r w:rsidR="00CC4B29" w:rsidRPr="00CC4B29">
              <w:rPr>
                <w:color w:val="7F7F7F" w:themeColor="text1" w:themeTint="80"/>
                <w:sz w:val="20"/>
                <w:szCs w:val="20"/>
                <w:lang w:val="es-ES"/>
              </w:rPr>
              <w:t xml:space="preserve">Página 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6C55E1">
              <w:rPr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="00CC4B29" w:rsidRPr="00CC4B29">
              <w:rPr>
                <w:color w:val="7F7F7F" w:themeColor="text1" w:themeTint="80"/>
                <w:sz w:val="20"/>
                <w:szCs w:val="20"/>
                <w:lang w:val="es-ES"/>
              </w:rPr>
              <w:t xml:space="preserve"> de 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6C55E1">
              <w:rPr>
                <w:bCs/>
                <w:noProof/>
                <w:color w:val="7F7F7F" w:themeColor="text1" w:themeTint="80"/>
                <w:sz w:val="20"/>
                <w:szCs w:val="20"/>
              </w:rPr>
              <w:t>2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29" w:rsidRDefault="00CC4B29" w:rsidP="00CC4B29">
      <w:pPr>
        <w:spacing w:after="0" w:line="240" w:lineRule="auto"/>
      </w:pPr>
      <w:r>
        <w:separator/>
      </w:r>
    </w:p>
  </w:footnote>
  <w:footnote w:type="continuationSeparator" w:id="0">
    <w:p w:rsidR="00CC4B29" w:rsidRDefault="00CC4B29" w:rsidP="00CC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29" w:rsidRDefault="00CC4B29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4E115069" wp14:editId="0946A816">
          <wp:simplePos x="0" y="0"/>
          <wp:positionH relativeFrom="column">
            <wp:posOffset>2111375</wp:posOffset>
          </wp:positionH>
          <wp:positionV relativeFrom="paragraph">
            <wp:posOffset>-168275</wp:posOffset>
          </wp:positionV>
          <wp:extent cx="1572895" cy="521970"/>
          <wp:effectExtent l="0" t="0" r="8255" b="0"/>
          <wp:wrapSquare wrapText="bothSides"/>
          <wp:docPr id="4" name="Imagen 4" descr="\\Miemdc01\dne\Division de Demanda, Acceso y Eficiencia Energetica\DDAEE-Compartido\Logos\logoEE_aprobad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iemdc01\dne\Division de Demanda, Acceso y Eficiencia Energetica\DDAEE-Compartido\Logos\logoEE_aprobado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76AB0298" wp14:editId="198F80AD">
          <wp:simplePos x="0" y="0"/>
          <wp:positionH relativeFrom="margin">
            <wp:posOffset>4253230</wp:posOffset>
          </wp:positionH>
          <wp:positionV relativeFrom="paragraph">
            <wp:posOffset>-159385</wp:posOffset>
          </wp:positionV>
          <wp:extent cx="1146810" cy="503555"/>
          <wp:effectExtent l="0" t="0" r="0" b="0"/>
          <wp:wrapSquare wrapText="bothSides"/>
          <wp:docPr id="2" name="Imagen 2" descr="\\Miemdc05\DNE\Division de Demanda, Acceso y Eficiencia Energetica\DDAEE-Compartido\Logos\LA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iemdc05\DNE\Division de Demanda, Acceso y Eficiencia Energetica\DDAEE-Compartido\Logos\LAE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5" t="10764" r="5995" b="10764"/>
                  <a:stretch/>
                </pic:blipFill>
                <pic:spPr bwMode="auto">
                  <a:xfrm>
                    <a:off x="0" y="0"/>
                    <a:ext cx="114681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2336" behindDoc="0" locked="0" layoutInCell="1" allowOverlap="1" wp14:anchorId="31481F47" wp14:editId="36E4A3A3">
          <wp:simplePos x="0" y="0"/>
          <wp:positionH relativeFrom="margin">
            <wp:posOffset>0</wp:posOffset>
          </wp:positionH>
          <wp:positionV relativeFrom="paragraph">
            <wp:posOffset>-260350</wp:posOffset>
          </wp:positionV>
          <wp:extent cx="1542415" cy="704850"/>
          <wp:effectExtent l="0" t="0" r="635" b="0"/>
          <wp:wrapSquare wrapText="bothSides"/>
          <wp:docPr id="1" name="Imagen 1" descr="C:\Users\atorchelo\Desktop\logo pie de pagina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torchelo\Desktop\logo pie de pagina definitiv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" t="8434" r="2451" b="8434"/>
                  <a:stretch/>
                </pic:blipFill>
                <pic:spPr bwMode="auto">
                  <a:xfrm>
                    <a:off x="0" y="0"/>
                    <a:ext cx="154241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4B29" w:rsidRDefault="00CC4B29">
    <w:pPr>
      <w:pStyle w:val="Encabezado"/>
    </w:pPr>
  </w:p>
  <w:p w:rsidR="00CC4B29" w:rsidRDefault="00CC4B29" w:rsidP="00CC4B29">
    <w:pPr>
      <w:pStyle w:val="Encabezado"/>
      <w:pBdr>
        <w:bottom w:val="single" w:sz="4" w:space="1" w:color="7F7F7F" w:themeColor="text1" w:themeTint="80"/>
      </w:pBdr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548E"/>
    <w:multiLevelType w:val="hybridMultilevel"/>
    <w:tmpl w:val="960AA57A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2B0B74C0"/>
    <w:multiLevelType w:val="hybridMultilevel"/>
    <w:tmpl w:val="954C1334"/>
    <w:lvl w:ilvl="0" w:tplc="D3760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23D1"/>
    <w:multiLevelType w:val="hybridMultilevel"/>
    <w:tmpl w:val="9522DE72"/>
    <w:lvl w:ilvl="0" w:tplc="380A000F">
      <w:start w:val="1"/>
      <w:numFmt w:val="decimal"/>
      <w:lvlText w:val="%1."/>
      <w:lvlJc w:val="left"/>
      <w:pPr>
        <w:ind w:left="1428" w:hanging="360"/>
      </w:p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0E74CA8"/>
    <w:multiLevelType w:val="hybridMultilevel"/>
    <w:tmpl w:val="FF4EF71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2BB9"/>
    <w:multiLevelType w:val="multilevel"/>
    <w:tmpl w:val="CCBE16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Roman"/>
      <w:pStyle w:val="Ttulo2"/>
      <w:lvlText w:val="%2.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2DA6C54"/>
    <w:multiLevelType w:val="hybridMultilevel"/>
    <w:tmpl w:val="C292F9EC"/>
    <w:lvl w:ilvl="0" w:tplc="75F6E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04CDB"/>
    <w:multiLevelType w:val="hybridMultilevel"/>
    <w:tmpl w:val="5002DAD4"/>
    <w:lvl w:ilvl="0" w:tplc="D258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8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34DE5"/>
    <w:multiLevelType w:val="hybridMultilevel"/>
    <w:tmpl w:val="264A3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D1AD2"/>
    <w:multiLevelType w:val="multilevel"/>
    <w:tmpl w:val="A7A85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724A3D"/>
    <w:multiLevelType w:val="hybridMultilevel"/>
    <w:tmpl w:val="B5F2A28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02DED"/>
    <w:multiLevelType w:val="hybridMultilevel"/>
    <w:tmpl w:val="C292F9EC"/>
    <w:lvl w:ilvl="0" w:tplc="75F6E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29"/>
    <w:rsid w:val="0002020A"/>
    <w:rsid w:val="00036607"/>
    <w:rsid w:val="000B1EA5"/>
    <w:rsid w:val="000C11BE"/>
    <w:rsid w:val="00140089"/>
    <w:rsid w:val="0015585C"/>
    <w:rsid w:val="001E1C62"/>
    <w:rsid w:val="00331B4D"/>
    <w:rsid w:val="003B776B"/>
    <w:rsid w:val="00416D14"/>
    <w:rsid w:val="0047398D"/>
    <w:rsid w:val="00523D67"/>
    <w:rsid w:val="005E63C6"/>
    <w:rsid w:val="00652F72"/>
    <w:rsid w:val="006C55E1"/>
    <w:rsid w:val="007100FE"/>
    <w:rsid w:val="00841C82"/>
    <w:rsid w:val="00865E28"/>
    <w:rsid w:val="008D7327"/>
    <w:rsid w:val="00944EE2"/>
    <w:rsid w:val="00A37F57"/>
    <w:rsid w:val="00A56E68"/>
    <w:rsid w:val="00CC4B29"/>
    <w:rsid w:val="00D3185B"/>
    <w:rsid w:val="00EB67C6"/>
    <w:rsid w:val="00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,"/>
  <w15:docId w15:val="{EFF8DBBF-F313-49FE-A1F0-BBA9663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29"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CC4B29"/>
    <w:pPr>
      <w:keepNext/>
      <w:keepLines/>
      <w:spacing w:before="120" w:after="120"/>
      <w:ind w:left="431" w:hanging="431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4B29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color w:val="00B05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4B2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B2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4B2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4B2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4B2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4B2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4B2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B29"/>
  </w:style>
  <w:style w:type="paragraph" w:styleId="Piedepgina">
    <w:name w:val="footer"/>
    <w:basedOn w:val="Normal"/>
    <w:link w:val="Piedepgina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B29"/>
  </w:style>
  <w:style w:type="paragraph" w:styleId="Textodeglobo">
    <w:name w:val="Balloon Text"/>
    <w:basedOn w:val="Normal"/>
    <w:link w:val="TextodegloboCar"/>
    <w:uiPriority w:val="99"/>
    <w:semiHidden/>
    <w:unhideWhenUsed/>
    <w:rsid w:val="00CC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B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4B2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4B29"/>
    <w:rPr>
      <w:rFonts w:eastAsiaTheme="majorEastAsia" w:cstheme="majorBidi"/>
      <w:b/>
      <w:bCs/>
      <w:color w:val="00B050"/>
      <w:sz w:val="24"/>
      <w:szCs w:val="26"/>
      <w:lang w:val="es-UY"/>
    </w:rPr>
  </w:style>
  <w:style w:type="character" w:customStyle="1" w:styleId="Ttulo3Car">
    <w:name w:val="Título 3 Car"/>
    <w:basedOn w:val="Fuentedeprrafopredeter"/>
    <w:link w:val="Ttulo3"/>
    <w:uiPriority w:val="9"/>
    <w:rsid w:val="00CC4B29"/>
    <w:rPr>
      <w:rFonts w:asciiTheme="majorHAnsi" w:eastAsiaTheme="majorEastAsia" w:hAnsiTheme="majorHAnsi" w:cstheme="majorBidi"/>
      <w:b/>
      <w:bCs/>
      <w:color w:val="4F81BD" w:themeColor="accent1"/>
      <w:lang w:val="es-UY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4B29"/>
    <w:rPr>
      <w:rFonts w:asciiTheme="majorHAnsi" w:eastAsiaTheme="majorEastAsia" w:hAnsiTheme="majorHAnsi" w:cstheme="majorBidi"/>
      <w:b/>
      <w:bCs/>
      <w:i/>
      <w:iCs/>
      <w:color w:val="4F81BD" w:themeColor="accent1"/>
      <w:lang w:val="es-UY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4B29"/>
    <w:rPr>
      <w:rFonts w:asciiTheme="majorHAnsi" w:eastAsiaTheme="majorEastAsia" w:hAnsiTheme="majorHAnsi" w:cstheme="majorBidi"/>
      <w:color w:val="243F60" w:themeColor="accent1" w:themeShade="7F"/>
      <w:lang w:val="es-UY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4B29"/>
    <w:rPr>
      <w:rFonts w:asciiTheme="majorHAnsi" w:eastAsiaTheme="majorEastAsia" w:hAnsiTheme="majorHAnsi" w:cstheme="majorBidi"/>
      <w:i/>
      <w:iCs/>
      <w:color w:val="243F60" w:themeColor="accent1" w:themeShade="7F"/>
      <w:lang w:val="es-UY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lang w:val="es-UY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4B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UY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UY"/>
    </w:rPr>
  </w:style>
  <w:style w:type="paragraph" w:styleId="Prrafodelista">
    <w:name w:val="List Paragraph"/>
    <w:basedOn w:val="Normal"/>
    <w:link w:val="PrrafodelistaCar"/>
    <w:uiPriority w:val="34"/>
    <w:qFormat/>
    <w:rsid w:val="00CC4B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CC4B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4B29"/>
    <w:rPr>
      <w:sz w:val="20"/>
      <w:szCs w:val="20"/>
      <w:lang w:val="es-UY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4B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B29"/>
    <w:rPr>
      <w:sz w:val="20"/>
      <w:szCs w:val="20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CC4B29"/>
    <w:rPr>
      <w:vertAlign w:val="superscript"/>
    </w:rPr>
  </w:style>
  <w:style w:type="paragraph" w:styleId="Sinespaciado">
    <w:name w:val="No Spacing"/>
    <w:qFormat/>
    <w:rsid w:val="00CC4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C4B29"/>
    <w:rPr>
      <w:lang w:val="es-UY"/>
    </w:rPr>
  </w:style>
  <w:style w:type="table" w:styleId="Tablaconcuadrcula">
    <w:name w:val="Table Grid"/>
    <w:basedOn w:val="Tablanormal"/>
    <w:uiPriority w:val="59"/>
    <w:rsid w:val="001400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UY"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40089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Mena</dc:creator>
  <cp:lastModifiedBy>Adriana Torchelo</cp:lastModifiedBy>
  <cp:revision>15</cp:revision>
  <cp:lastPrinted>2017-12-20T14:57:00Z</cp:lastPrinted>
  <dcterms:created xsi:type="dcterms:W3CDTF">2016-08-01T15:18:00Z</dcterms:created>
  <dcterms:modified xsi:type="dcterms:W3CDTF">2019-12-12T14:01:00Z</dcterms:modified>
</cp:coreProperties>
</file>